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5D" w:rsidRPr="002162F3" w:rsidRDefault="0046565D" w:rsidP="0046565D">
      <w:pPr>
        <w:pageBreakBefore/>
        <w:jc w:val="left"/>
        <w:rPr>
          <w:rFonts w:ascii="楷体_GB2312" w:eastAsia="楷体_GB2312" w:hAnsi="楷体"/>
          <w:b/>
          <w:sz w:val="36"/>
          <w:szCs w:val="28"/>
        </w:rPr>
      </w:pPr>
      <w:r w:rsidRPr="002162F3">
        <w:rPr>
          <w:rFonts w:ascii="楷体_GB2312" w:eastAsia="楷体_GB2312" w:hint="eastAsia"/>
        </w:rPr>
        <w:t>附件1.</w:t>
      </w:r>
      <w:r w:rsidRPr="002162F3">
        <w:rPr>
          <w:rFonts w:ascii="楷体_GB2312" w:eastAsia="楷体_GB2312" w:hAnsi="楷体" w:hint="eastAsia"/>
          <w:b/>
          <w:sz w:val="36"/>
          <w:szCs w:val="28"/>
        </w:rPr>
        <w:t xml:space="preserve"> </w:t>
      </w:r>
    </w:p>
    <w:p w:rsidR="0046565D" w:rsidRPr="002162F3" w:rsidRDefault="0046565D" w:rsidP="0046565D">
      <w:pPr>
        <w:jc w:val="center"/>
        <w:rPr>
          <w:rFonts w:ascii="楷体_GB2312" w:eastAsia="楷体_GB2312" w:hAnsi="楷体"/>
          <w:b/>
          <w:sz w:val="36"/>
          <w:szCs w:val="28"/>
        </w:rPr>
      </w:pPr>
      <w:r w:rsidRPr="002162F3">
        <w:rPr>
          <w:rFonts w:ascii="楷体_GB2312" w:eastAsia="楷体_GB2312" w:hAnsi="楷体" w:hint="eastAsia"/>
          <w:b/>
          <w:sz w:val="36"/>
          <w:szCs w:val="28"/>
        </w:rPr>
        <w:t>北京师范大学珠海分校</w:t>
      </w:r>
    </w:p>
    <w:p w:rsidR="0046565D" w:rsidRPr="002162F3" w:rsidRDefault="0046565D" w:rsidP="0046565D">
      <w:pPr>
        <w:jc w:val="center"/>
        <w:rPr>
          <w:rFonts w:ascii="楷体_GB2312" w:eastAsia="楷体_GB2312" w:hAnsi="楷体"/>
          <w:b/>
          <w:sz w:val="36"/>
          <w:szCs w:val="28"/>
        </w:rPr>
      </w:pPr>
      <w:bookmarkStart w:id="0" w:name="_GoBack"/>
      <w:r w:rsidRPr="002162F3">
        <w:rPr>
          <w:rFonts w:ascii="楷体_GB2312" w:eastAsia="楷体_GB2312" w:hAnsi="楷体" w:hint="eastAsia"/>
          <w:b/>
          <w:sz w:val="36"/>
          <w:szCs w:val="28"/>
        </w:rPr>
        <w:t>2015级、2016级就业创业教育实施方案</w:t>
      </w:r>
    </w:p>
    <w:bookmarkEnd w:id="0"/>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根据《国务院办公厅关于深化高等学校创新创业教育改革的实施意见》等文件精神，结合我校实际情况，现对2015级和2016级就业创业教育课程实施方案具体说明如下：</w:t>
      </w:r>
    </w:p>
    <w:p w:rsidR="0046565D" w:rsidRPr="002162F3" w:rsidRDefault="0046565D" w:rsidP="0046565D">
      <w:pPr>
        <w:spacing w:line="360" w:lineRule="auto"/>
        <w:jc w:val="left"/>
        <w:rPr>
          <w:rFonts w:ascii="楷体_GB2312" w:eastAsia="楷体_GB2312" w:hAnsi="楷体"/>
          <w:b/>
          <w:sz w:val="24"/>
        </w:rPr>
      </w:pPr>
      <w:r w:rsidRPr="002162F3">
        <w:rPr>
          <w:rFonts w:ascii="楷体_GB2312" w:eastAsia="楷体_GB2312" w:hAnsi="楷体" w:hint="eastAsia"/>
          <w:b/>
          <w:sz w:val="24"/>
        </w:rPr>
        <w:t>一、就业教育</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2016级就业指导课程名称为《大学生职业规划与就业指导》，总计36学时，共计1学分，由就业创业教研室负责统筹管理。该课程的理论课18学时，2016级学生应在在第一学年1-9周选课完成，其余18学时由各学院（部）通过专题讲座、实践训练等方式指导学生在第四学年第一学期前完成。各学院（部）应将学生实践学分修读情况在学生毕业学年报就业创业教研室审核备案，未完</w:t>
      </w:r>
      <w:proofErr w:type="gramStart"/>
      <w:r w:rsidRPr="002162F3">
        <w:rPr>
          <w:rFonts w:ascii="楷体_GB2312" w:eastAsia="楷体_GB2312" w:hAnsi="楷体" w:hint="eastAsia"/>
          <w:sz w:val="24"/>
        </w:rPr>
        <w:t>成实践</w:t>
      </w:r>
      <w:proofErr w:type="gramEnd"/>
      <w:r w:rsidRPr="002162F3">
        <w:rPr>
          <w:rFonts w:ascii="楷体_GB2312" w:eastAsia="楷体_GB2312" w:hAnsi="楷体" w:hint="eastAsia"/>
          <w:sz w:val="24"/>
        </w:rPr>
        <w:t>学时的学生不能毕业。</w:t>
      </w:r>
    </w:p>
    <w:tbl>
      <w:tblPr>
        <w:tblStyle w:val="a3"/>
        <w:tblW w:w="8522" w:type="dxa"/>
        <w:tblLayout w:type="fixed"/>
        <w:tblLook w:val="04A0" w:firstRow="1" w:lastRow="0" w:firstColumn="1" w:lastColumn="0" w:noHBand="0" w:noVBand="1"/>
      </w:tblPr>
      <w:tblGrid>
        <w:gridCol w:w="2235"/>
        <w:gridCol w:w="995"/>
        <w:gridCol w:w="990"/>
        <w:gridCol w:w="1699"/>
        <w:gridCol w:w="2603"/>
      </w:tblGrid>
      <w:tr w:rsidR="0046565D" w:rsidRPr="002162F3" w:rsidTr="00FD734B">
        <w:tc>
          <w:tcPr>
            <w:tcW w:w="2235"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课程名称</w:t>
            </w:r>
          </w:p>
        </w:tc>
        <w:tc>
          <w:tcPr>
            <w:tcW w:w="995"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学时</w:t>
            </w:r>
          </w:p>
        </w:tc>
        <w:tc>
          <w:tcPr>
            <w:tcW w:w="990"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学分</w:t>
            </w:r>
          </w:p>
        </w:tc>
        <w:tc>
          <w:tcPr>
            <w:tcW w:w="1699"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授课方式</w:t>
            </w:r>
          </w:p>
        </w:tc>
        <w:tc>
          <w:tcPr>
            <w:tcW w:w="2603"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开课单位</w:t>
            </w:r>
          </w:p>
        </w:tc>
      </w:tr>
      <w:tr w:rsidR="0046565D" w:rsidRPr="002162F3" w:rsidTr="00FD734B">
        <w:tc>
          <w:tcPr>
            <w:tcW w:w="2235" w:type="dxa"/>
            <w:vMerge w:val="restart"/>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大学生职业规划与就业指导</w:t>
            </w:r>
          </w:p>
        </w:tc>
        <w:tc>
          <w:tcPr>
            <w:tcW w:w="995"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18</w:t>
            </w:r>
          </w:p>
        </w:tc>
        <w:tc>
          <w:tcPr>
            <w:tcW w:w="990" w:type="dxa"/>
            <w:vMerge w:val="restart"/>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1</w:t>
            </w:r>
          </w:p>
        </w:tc>
        <w:tc>
          <w:tcPr>
            <w:tcW w:w="1699"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集中教学</w:t>
            </w:r>
          </w:p>
        </w:tc>
        <w:tc>
          <w:tcPr>
            <w:tcW w:w="2603"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就业创业教研室</w:t>
            </w:r>
          </w:p>
        </w:tc>
      </w:tr>
      <w:tr w:rsidR="0046565D" w:rsidRPr="002162F3" w:rsidTr="00FD734B">
        <w:tc>
          <w:tcPr>
            <w:tcW w:w="2235" w:type="dxa"/>
            <w:vMerge/>
            <w:vAlign w:val="center"/>
          </w:tcPr>
          <w:p w:rsidR="0046565D" w:rsidRPr="002162F3" w:rsidRDefault="0046565D" w:rsidP="00FD734B">
            <w:pPr>
              <w:spacing w:line="360" w:lineRule="auto"/>
              <w:jc w:val="center"/>
              <w:rPr>
                <w:rFonts w:ascii="楷体_GB2312" w:eastAsia="楷体_GB2312" w:hAnsi="楷体"/>
                <w:sz w:val="24"/>
              </w:rPr>
            </w:pPr>
          </w:p>
        </w:tc>
        <w:tc>
          <w:tcPr>
            <w:tcW w:w="995"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18</w:t>
            </w:r>
          </w:p>
        </w:tc>
        <w:tc>
          <w:tcPr>
            <w:tcW w:w="990" w:type="dxa"/>
            <w:vMerge/>
            <w:vAlign w:val="center"/>
          </w:tcPr>
          <w:p w:rsidR="0046565D" w:rsidRPr="002162F3" w:rsidRDefault="0046565D" w:rsidP="00FD734B">
            <w:pPr>
              <w:spacing w:line="360" w:lineRule="auto"/>
              <w:jc w:val="center"/>
              <w:rPr>
                <w:rFonts w:ascii="楷体_GB2312" w:eastAsia="楷体_GB2312" w:hAnsi="楷体"/>
                <w:sz w:val="24"/>
              </w:rPr>
            </w:pPr>
          </w:p>
        </w:tc>
        <w:tc>
          <w:tcPr>
            <w:tcW w:w="1699"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自定</w:t>
            </w:r>
          </w:p>
        </w:tc>
        <w:tc>
          <w:tcPr>
            <w:tcW w:w="2603"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各院（部）</w:t>
            </w:r>
          </w:p>
        </w:tc>
      </w:tr>
    </w:tbl>
    <w:p w:rsidR="0046565D" w:rsidRPr="002162F3" w:rsidRDefault="0046565D" w:rsidP="0046565D">
      <w:pPr>
        <w:spacing w:line="360" w:lineRule="auto"/>
        <w:rPr>
          <w:rFonts w:ascii="楷体_GB2312" w:eastAsia="楷体_GB2312" w:hAnsi="楷体"/>
          <w:b/>
          <w:sz w:val="24"/>
        </w:rPr>
      </w:pPr>
      <w:r w:rsidRPr="002162F3">
        <w:rPr>
          <w:rFonts w:ascii="楷体_GB2312" w:eastAsia="楷体_GB2312" w:hAnsi="楷体" w:hint="eastAsia"/>
          <w:b/>
          <w:sz w:val="24"/>
        </w:rPr>
        <w:t>二、创业教育</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就业创业教育课程总计2学分，由就业创业教研室负责统筹管理。</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1、2015级学生可以通过两种方式获得此课程学分。学生可以通过选修通</w:t>
      </w:r>
      <w:proofErr w:type="gramStart"/>
      <w:r w:rsidRPr="002162F3">
        <w:rPr>
          <w:rFonts w:ascii="楷体_GB2312" w:eastAsia="楷体_GB2312" w:hAnsi="楷体" w:hint="eastAsia"/>
          <w:sz w:val="24"/>
        </w:rPr>
        <w:t>识中心</w:t>
      </w:r>
      <w:proofErr w:type="gramEnd"/>
      <w:r w:rsidRPr="002162F3">
        <w:rPr>
          <w:rFonts w:ascii="楷体_GB2312" w:eastAsia="楷体_GB2312" w:hAnsi="楷体" w:hint="eastAsia"/>
          <w:sz w:val="24"/>
        </w:rPr>
        <w:t>开设的《创业基础》课程获得学分，也可以按照《北京师范大学珠海分校就业创业教育课程实施方案》（师（珠）教发【2013】1号）规定，通过其它方式申请认定该课程学分。学生必须在第四学年第一学期结束前申请认证（可以认证的项目见附表）。</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2、2016级学生就业创业教育课程分两部分，由各学院（部）和就业创业教研室共同完成。</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1）1学分由各学院（部）负责。各专业根据自身特点，在专业必修课程中设置一门不少于1学分的创新创业类课程，各学院（部）应将该课程教学大纲报就业创业教研室审批，待学校创新创业指导委员会审核通过后方能实施。</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（2）1学分由就业创业教研室负责统筹开课，遴选校内外创业导师担任开</w:t>
      </w:r>
      <w:r w:rsidRPr="002162F3">
        <w:rPr>
          <w:rFonts w:ascii="楷体_GB2312" w:eastAsia="楷体_GB2312" w:hAnsi="楷体" w:hint="eastAsia"/>
          <w:sz w:val="24"/>
        </w:rPr>
        <w:lastRenderedPageBreak/>
        <w:t>课教师，共18学时。2016级学生在第二学年开始选课，每学期1-9周上课，每周2学时，每个教学班99人。如学生未能选修学校开设的创业课程，也可以按照《北京师范大学珠海分校就业创业教育课程实施方案》（师（珠）教发【2013】1号）规定申请认定该课程学分（可以认证的项目见附表），但必须在第四学年第一学期结束前申请认证。</w:t>
      </w:r>
    </w:p>
    <w:p w:rsidR="0046565D" w:rsidRPr="002162F3" w:rsidRDefault="0046565D" w:rsidP="0046565D">
      <w:pPr>
        <w:spacing w:line="360" w:lineRule="auto"/>
        <w:rPr>
          <w:rFonts w:ascii="楷体_GB2312" w:eastAsia="楷体_GB2312" w:hAnsi="楷体"/>
          <w:b/>
          <w:sz w:val="24"/>
        </w:rPr>
      </w:pPr>
      <w:r w:rsidRPr="002162F3">
        <w:rPr>
          <w:rFonts w:ascii="楷体_GB2312" w:eastAsia="楷体_GB2312" w:hAnsi="楷体" w:hint="eastAsia"/>
          <w:b/>
          <w:sz w:val="24"/>
        </w:rPr>
        <w:t>三、成绩评定说明</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通过课堂教学方式进行授课的就业创业课程的成绩评定按百分制录入成绩；通过项目认定方式获得的就业创业课程成绩，按二级制录入成绩，不计</w:t>
      </w:r>
      <w:proofErr w:type="gramStart"/>
      <w:r w:rsidRPr="002162F3">
        <w:rPr>
          <w:rFonts w:ascii="楷体_GB2312" w:eastAsia="楷体_GB2312" w:hAnsi="楷体" w:hint="eastAsia"/>
          <w:sz w:val="24"/>
        </w:rPr>
        <w:t>入绩点</w:t>
      </w:r>
      <w:proofErr w:type="gramEnd"/>
      <w:r w:rsidRPr="002162F3">
        <w:rPr>
          <w:rFonts w:ascii="楷体_GB2312" w:eastAsia="楷体_GB2312" w:hAnsi="楷体" w:hint="eastAsia"/>
          <w:sz w:val="24"/>
        </w:rPr>
        <w:t>。</w:t>
      </w:r>
    </w:p>
    <w:p w:rsidR="0046565D" w:rsidRPr="002162F3" w:rsidRDefault="0046565D" w:rsidP="0046565D">
      <w:pPr>
        <w:spacing w:line="360" w:lineRule="auto"/>
        <w:rPr>
          <w:rFonts w:ascii="楷体_GB2312" w:eastAsia="楷体_GB2312" w:hAnsi="楷体"/>
          <w:b/>
          <w:sz w:val="24"/>
        </w:rPr>
      </w:pPr>
      <w:r w:rsidRPr="002162F3">
        <w:rPr>
          <w:rFonts w:ascii="楷体_GB2312" w:eastAsia="楷体_GB2312" w:hAnsi="楷体" w:hint="eastAsia"/>
          <w:b/>
          <w:sz w:val="24"/>
        </w:rPr>
        <w:t>四、附则</w:t>
      </w:r>
    </w:p>
    <w:p w:rsidR="0046565D" w:rsidRPr="002162F3" w:rsidRDefault="0046565D" w:rsidP="0046565D">
      <w:pPr>
        <w:spacing w:line="360" w:lineRule="auto"/>
        <w:ind w:firstLineChars="200" w:firstLine="480"/>
        <w:rPr>
          <w:rFonts w:ascii="楷体_GB2312" w:eastAsia="楷体_GB2312" w:hAnsi="楷体"/>
          <w:sz w:val="24"/>
        </w:rPr>
      </w:pPr>
      <w:r w:rsidRPr="002162F3">
        <w:rPr>
          <w:rFonts w:ascii="楷体_GB2312" w:eastAsia="楷体_GB2312" w:hAnsi="楷体" w:hint="eastAsia"/>
          <w:sz w:val="24"/>
        </w:rPr>
        <w:t>本方案由就业创业教研室负责解释。</w:t>
      </w:r>
    </w:p>
    <w:p w:rsidR="0046565D" w:rsidRDefault="0046565D" w:rsidP="0046565D">
      <w:pPr>
        <w:spacing w:line="360" w:lineRule="auto"/>
        <w:ind w:firstLineChars="2450" w:firstLine="5880"/>
        <w:rPr>
          <w:rFonts w:ascii="楷体_GB2312" w:eastAsia="楷体_GB2312" w:hAnsi="楷体"/>
          <w:sz w:val="24"/>
        </w:rPr>
      </w:pPr>
      <w:r>
        <w:rPr>
          <w:rFonts w:ascii="楷体_GB2312" w:eastAsia="楷体_GB2312" w:hAnsi="楷体" w:hint="eastAsia"/>
          <w:sz w:val="24"/>
        </w:rPr>
        <w:t>教务处</w:t>
      </w:r>
    </w:p>
    <w:p w:rsidR="0046565D" w:rsidRPr="002162F3" w:rsidRDefault="0046565D" w:rsidP="0046565D">
      <w:pPr>
        <w:spacing w:line="360" w:lineRule="auto"/>
        <w:ind w:firstLineChars="2250" w:firstLine="5400"/>
        <w:rPr>
          <w:rFonts w:ascii="楷体_GB2312" w:eastAsia="楷体_GB2312" w:hAnsi="楷体"/>
          <w:sz w:val="24"/>
        </w:rPr>
      </w:pPr>
      <w:r w:rsidRPr="002162F3">
        <w:rPr>
          <w:rFonts w:ascii="楷体_GB2312" w:eastAsia="楷体_GB2312" w:hAnsi="楷体" w:hint="eastAsia"/>
          <w:sz w:val="24"/>
        </w:rPr>
        <w:t>二零一六年六月一日</w:t>
      </w:r>
    </w:p>
    <w:p w:rsidR="0046565D" w:rsidRPr="002162F3" w:rsidRDefault="0046565D" w:rsidP="0046565D">
      <w:pPr>
        <w:spacing w:line="360" w:lineRule="auto"/>
        <w:rPr>
          <w:rFonts w:ascii="楷体_GB2312" w:eastAsia="楷体_GB2312" w:hAnsi="楷体"/>
          <w:sz w:val="24"/>
        </w:rPr>
      </w:pPr>
      <w:r w:rsidRPr="002162F3">
        <w:rPr>
          <w:rFonts w:ascii="楷体_GB2312" w:eastAsia="楷体_GB2312" w:hAnsi="楷体" w:hint="eastAsia"/>
          <w:sz w:val="24"/>
        </w:rPr>
        <w:t>附表：</w:t>
      </w:r>
    </w:p>
    <w:tbl>
      <w:tblPr>
        <w:tblStyle w:val="a3"/>
        <w:tblW w:w="8147" w:type="dxa"/>
        <w:jc w:val="center"/>
        <w:tblLayout w:type="fixed"/>
        <w:tblLook w:val="04A0" w:firstRow="1" w:lastRow="0" w:firstColumn="1" w:lastColumn="0" w:noHBand="0" w:noVBand="1"/>
      </w:tblPr>
      <w:tblGrid>
        <w:gridCol w:w="3460"/>
        <w:gridCol w:w="4687"/>
      </w:tblGrid>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项目</w:t>
            </w:r>
          </w:p>
        </w:tc>
        <w:tc>
          <w:tcPr>
            <w:tcW w:w="4687" w:type="dxa"/>
            <w:vAlign w:val="center"/>
          </w:tcPr>
          <w:p w:rsidR="0046565D" w:rsidRPr="002162F3" w:rsidRDefault="0046565D" w:rsidP="00FD734B">
            <w:pPr>
              <w:spacing w:line="360" w:lineRule="auto"/>
              <w:jc w:val="center"/>
              <w:rPr>
                <w:rFonts w:ascii="楷体_GB2312" w:eastAsia="楷体_GB2312" w:hAnsi="楷体"/>
                <w:b/>
                <w:sz w:val="24"/>
              </w:rPr>
            </w:pPr>
            <w:r w:rsidRPr="002162F3">
              <w:rPr>
                <w:rFonts w:ascii="楷体_GB2312" w:eastAsia="楷体_GB2312" w:hAnsi="楷体" w:hint="eastAsia"/>
                <w:b/>
                <w:sz w:val="24"/>
              </w:rPr>
              <w:t>认定标准</w:t>
            </w:r>
          </w:p>
        </w:tc>
      </w:tr>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 xml:space="preserve">SYB创业指导 </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r w:rsidRPr="002162F3">
              <w:rPr>
                <w:rFonts w:ascii="楷体_GB2312" w:eastAsia="楷体_GB2312" w:hAnsi="楷体" w:hint="eastAsia"/>
                <w:sz w:val="24"/>
              </w:rPr>
              <w:t>参加职业技能培训课程并获得相关职业资格证书</w:t>
            </w:r>
          </w:p>
        </w:tc>
      </w:tr>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大学生创业基础课程</w:t>
            </w:r>
          </w:p>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（网络课程）</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r w:rsidRPr="002162F3">
              <w:rPr>
                <w:rFonts w:ascii="楷体_GB2312" w:eastAsia="楷体_GB2312" w:hAnsi="楷体" w:hint="eastAsia"/>
                <w:sz w:val="24"/>
              </w:rPr>
              <w:t>按开课学期考核</w:t>
            </w:r>
          </w:p>
        </w:tc>
      </w:tr>
      <w:tr w:rsidR="0046565D" w:rsidRPr="002162F3" w:rsidTr="00FD734B">
        <w:trPr>
          <w:jc w:val="center"/>
        </w:trPr>
        <w:tc>
          <w:tcPr>
            <w:tcW w:w="3460" w:type="dxa"/>
            <w:vAlign w:val="center"/>
          </w:tcPr>
          <w:p w:rsidR="0046565D" w:rsidRPr="002162F3" w:rsidRDefault="0046565D" w:rsidP="00FD734B">
            <w:pPr>
              <w:spacing w:line="360" w:lineRule="auto"/>
              <w:rPr>
                <w:rFonts w:ascii="楷体_GB2312" w:eastAsia="楷体_GB2312" w:hAnsi="楷体"/>
                <w:sz w:val="24"/>
              </w:rPr>
            </w:pPr>
            <w:r w:rsidRPr="002162F3">
              <w:rPr>
                <w:rFonts w:ascii="楷体_GB2312" w:eastAsia="楷体_GB2312" w:hAnsi="楷体" w:hint="eastAsia"/>
                <w:sz w:val="24"/>
              </w:rPr>
              <w:t>创业类讲座与案例分析</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r w:rsidRPr="002162F3">
              <w:rPr>
                <w:rFonts w:ascii="楷体_GB2312" w:eastAsia="楷体_GB2312" w:hAnsi="楷体" w:hint="eastAsia"/>
                <w:sz w:val="24"/>
              </w:rPr>
              <w:t>校、院（部）每学年各举办10场讲座，修满15次可申请认定</w:t>
            </w:r>
          </w:p>
        </w:tc>
      </w:tr>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大学生创新创业训练计划</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proofErr w:type="gramStart"/>
            <w:r w:rsidRPr="002162F3">
              <w:rPr>
                <w:rFonts w:ascii="楷体_GB2312" w:eastAsia="楷体_GB2312" w:hAnsi="楷体" w:hint="eastAsia"/>
                <w:sz w:val="24"/>
              </w:rPr>
              <w:t>项目结项后</w:t>
            </w:r>
            <w:proofErr w:type="gramEnd"/>
            <w:r w:rsidRPr="002162F3">
              <w:rPr>
                <w:rFonts w:ascii="楷体_GB2312" w:eastAsia="楷体_GB2312" w:hAnsi="楷体" w:hint="eastAsia"/>
                <w:sz w:val="24"/>
              </w:rPr>
              <w:t>完成获得学分</w:t>
            </w:r>
          </w:p>
        </w:tc>
      </w:tr>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大学生创业比赛获奖</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r w:rsidRPr="002162F3">
              <w:rPr>
                <w:rFonts w:ascii="楷体_GB2312" w:eastAsia="楷体_GB2312" w:hAnsi="楷体" w:hint="eastAsia"/>
                <w:sz w:val="24"/>
              </w:rPr>
              <w:t>学生在老师指导下，参加比赛获得校级及以上奖励，凭获奖证书或文件可获得学分</w:t>
            </w:r>
          </w:p>
        </w:tc>
      </w:tr>
      <w:tr w:rsidR="0046565D" w:rsidRPr="002162F3" w:rsidTr="00FD734B">
        <w:trPr>
          <w:jc w:val="center"/>
        </w:trPr>
        <w:tc>
          <w:tcPr>
            <w:tcW w:w="3460" w:type="dxa"/>
            <w:vAlign w:val="center"/>
          </w:tcPr>
          <w:p w:rsidR="0046565D" w:rsidRPr="002162F3" w:rsidRDefault="0046565D" w:rsidP="00FD734B">
            <w:pPr>
              <w:spacing w:line="360" w:lineRule="auto"/>
              <w:jc w:val="center"/>
              <w:rPr>
                <w:rFonts w:ascii="楷体_GB2312" w:eastAsia="楷体_GB2312" w:hAnsi="楷体"/>
                <w:sz w:val="24"/>
              </w:rPr>
            </w:pPr>
            <w:r w:rsidRPr="002162F3">
              <w:rPr>
                <w:rFonts w:ascii="楷体_GB2312" w:eastAsia="楷体_GB2312" w:hAnsi="楷体" w:hint="eastAsia"/>
                <w:sz w:val="24"/>
              </w:rPr>
              <w:t>创业实践</w:t>
            </w:r>
          </w:p>
        </w:tc>
        <w:tc>
          <w:tcPr>
            <w:tcW w:w="4687" w:type="dxa"/>
            <w:vAlign w:val="center"/>
          </w:tcPr>
          <w:p w:rsidR="0046565D" w:rsidRPr="002162F3" w:rsidRDefault="0046565D" w:rsidP="00FD734B">
            <w:pPr>
              <w:spacing w:line="360" w:lineRule="auto"/>
              <w:jc w:val="left"/>
              <w:rPr>
                <w:rFonts w:ascii="楷体_GB2312" w:eastAsia="楷体_GB2312" w:hAnsi="楷体"/>
                <w:sz w:val="24"/>
              </w:rPr>
            </w:pPr>
            <w:r w:rsidRPr="002162F3">
              <w:rPr>
                <w:rFonts w:ascii="楷体_GB2312" w:eastAsia="楷体_GB2312" w:hAnsi="楷体" w:hint="eastAsia"/>
                <w:sz w:val="24"/>
              </w:rPr>
              <w:t>学生成立创业企业，</w:t>
            </w:r>
            <w:proofErr w:type="gramStart"/>
            <w:r w:rsidRPr="002162F3">
              <w:rPr>
                <w:rFonts w:ascii="楷体_GB2312" w:eastAsia="楷体_GB2312" w:hAnsi="楷体" w:hint="eastAsia"/>
                <w:sz w:val="24"/>
              </w:rPr>
              <w:t>凭工商</w:t>
            </w:r>
            <w:proofErr w:type="gramEnd"/>
            <w:r w:rsidRPr="002162F3">
              <w:rPr>
                <w:rFonts w:ascii="楷体_GB2312" w:eastAsia="楷体_GB2312" w:hAnsi="楷体" w:hint="eastAsia"/>
                <w:sz w:val="24"/>
              </w:rPr>
              <w:t>营业执照法人代表信息或股权说明书可获得学分</w:t>
            </w:r>
          </w:p>
        </w:tc>
      </w:tr>
    </w:tbl>
    <w:p w:rsidR="0046565D" w:rsidRPr="002162F3" w:rsidRDefault="0046565D" w:rsidP="0046565D">
      <w:pPr>
        <w:rPr>
          <w:rFonts w:ascii="楷体_GB2312" w:eastAsia="楷体_GB2312" w:hAnsi="仿宋"/>
          <w:sz w:val="28"/>
          <w:szCs w:val="28"/>
        </w:rPr>
      </w:pPr>
    </w:p>
    <w:p w:rsidR="0046565D" w:rsidRPr="002162F3" w:rsidRDefault="0046565D" w:rsidP="0046565D">
      <w:pPr>
        <w:rPr>
          <w:rFonts w:ascii="楷体_GB2312" w:eastAsia="楷体_GB2312" w:hAnsi="仿宋"/>
          <w:sz w:val="28"/>
          <w:szCs w:val="28"/>
        </w:rPr>
      </w:pPr>
    </w:p>
    <w:p w:rsidR="0046565D" w:rsidRPr="002162F3" w:rsidRDefault="0046565D" w:rsidP="0046565D">
      <w:pPr>
        <w:rPr>
          <w:rFonts w:ascii="楷体_GB2312" w:eastAsia="楷体_GB2312" w:hAnsi="仿宋"/>
          <w:sz w:val="28"/>
          <w:szCs w:val="28"/>
        </w:rPr>
      </w:pPr>
    </w:p>
    <w:p w:rsidR="00D207ED" w:rsidRPr="0046565D" w:rsidRDefault="00D207ED"/>
    <w:sectPr w:rsidR="00D207ED" w:rsidRPr="004656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5D"/>
    <w:rsid w:val="0046565D"/>
    <w:rsid w:val="0089310E"/>
    <w:rsid w:val="00D207ED"/>
    <w:rsid w:val="00F1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D84F-C224-47C1-96F2-9FB65379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656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6565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袁昭宁</dc:creator>
  <cp:keywords/>
  <dc:description/>
  <cp:lastModifiedBy>袁昭宁</cp:lastModifiedBy>
  <cp:revision>1</cp:revision>
  <dcterms:created xsi:type="dcterms:W3CDTF">2016-06-16T09:12:00Z</dcterms:created>
  <dcterms:modified xsi:type="dcterms:W3CDTF">2016-06-16T09:13:00Z</dcterms:modified>
</cp:coreProperties>
</file>